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1D" w:rsidRDefault="0080641D" w:rsidP="0080641D">
      <w:pPr>
        <w:tabs>
          <w:tab w:val="left" w:pos="0"/>
        </w:tabs>
        <w:jc w:val="both"/>
        <w:rPr>
          <w:b/>
          <w:szCs w:val="28"/>
        </w:rPr>
      </w:pPr>
    </w:p>
    <w:p w:rsidR="0080641D" w:rsidRDefault="0080641D" w:rsidP="0080641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80641D" w:rsidRDefault="0080641D" w:rsidP="0080641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80641D" w:rsidRDefault="0080641D" w:rsidP="0080641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80641D" w:rsidRDefault="0080641D" w:rsidP="0080641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80641D" w:rsidRDefault="0080641D" w:rsidP="0080641D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4C71A3" w:rsidRDefault="0080641D" w:rsidP="0080641D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80641D" w:rsidRPr="004C71A3" w:rsidRDefault="004C71A3" w:rsidP="0080641D">
      <w:pPr>
        <w:tabs>
          <w:tab w:val="left" w:pos="0"/>
        </w:tabs>
        <w:jc w:val="both"/>
        <w:rPr>
          <w:b/>
          <w:i/>
          <w:sz w:val="52"/>
        </w:rPr>
      </w:pPr>
      <w:r w:rsidRPr="004C71A3">
        <w:rPr>
          <w:b/>
          <w:i/>
          <w:sz w:val="52"/>
        </w:rPr>
        <w:t xml:space="preserve">           </w:t>
      </w:r>
      <w:r>
        <w:rPr>
          <w:b/>
          <w:i/>
          <w:sz w:val="52"/>
        </w:rPr>
        <w:t xml:space="preserve">    </w:t>
      </w:r>
      <w:r w:rsidRPr="004C71A3">
        <w:rPr>
          <w:b/>
          <w:i/>
          <w:sz w:val="52"/>
        </w:rPr>
        <w:t xml:space="preserve">     </w:t>
      </w:r>
      <w:r w:rsidR="0080641D" w:rsidRPr="004C71A3">
        <w:rPr>
          <w:b/>
          <w:i/>
          <w:sz w:val="52"/>
        </w:rPr>
        <w:t>* *  *  *  *  *  *</w:t>
      </w:r>
    </w:p>
    <w:p w:rsidR="004B60F8" w:rsidRDefault="004B60F8" w:rsidP="004B60F8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*202004*  Daňové priznanie FO za rok 2019 a zmeny v dani     </w:t>
      </w:r>
    </w:p>
    <w:p w:rsidR="004B60F8" w:rsidRDefault="004B60F8" w:rsidP="004B60F8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z príjmov FO v  roku 2020 </w:t>
      </w:r>
    </w:p>
    <w:p w:rsidR="004B60F8" w:rsidRDefault="004B60F8" w:rsidP="004B60F8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 xml:space="preserve">Lektor:   Ing. </w:t>
      </w:r>
      <w:proofErr w:type="spellStart"/>
      <w:r>
        <w:rPr>
          <w:b/>
          <w:i/>
          <w:sz w:val="32"/>
          <w:szCs w:val="32"/>
        </w:rPr>
        <w:t>Prajová</w:t>
      </w:r>
      <w:proofErr w:type="spellEnd"/>
      <w:r>
        <w:rPr>
          <w:b/>
          <w:i/>
          <w:sz w:val="32"/>
          <w:szCs w:val="32"/>
        </w:rPr>
        <w:t xml:space="preserve"> Marcela, Trnava</w:t>
      </w:r>
    </w:p>
    <w:p w:rsidR="00C90DF9" w:rsidRDefault="004B60F8" w:rsidP="004B60F8">
      <w:pPr>
        <w:tabs>
          <w:tab w:val="left" w:pos="0"/>
        </w:tabs>
        <w:jc w:val="both"/>
        <w:rPr>
          <w:i/>
          <w:szCs w:val="32"/>
        </w:rPr>
      </w:pPr>
      <w:r>
        <w:rPr>
          <w:b/>
          <w:i/>
          <w:sz w:val="28"/>
          <w:szCs w:val="32"/>
        </w:rPr>
        <w:t xml:space="preserve">Termín:           </w:t>
      </w:r>
      <w:r w:rsidR="00C90DF9">
        <w:rPr>
          <w:b/>
          <w:i/>
          <w:sz w:val="28"/>
          <w:szCs w:val="32"/>
        </w:rPr>
        <w:t xml:space="preserve">    </w:t>
      </w:r>
      <w:r>
        <w:rPr>
          <w:b/>
          <w:i/>
          <w:sz w:val="28"/>
          <w:szCs w:val="32"/>
        </w:rPr>
        <w:t xml:space="preserve">   </w:t>
      </w:r>
      <w:r w:rsidRPr="00C90DF9">
        <w:rPr>
          <w:b/>
          <w:i/>
          <w:sz w:val="32"/>
          <w:szCs w:val="32"/>
        </w:rPr>
        <w:t>0</w:t>
      </w:r>
      <w:r w:rsidR="00C90DF9" w:rsidRPr="00C90DF9">
        <w:rPr>
          <w:b/>
          <w:i/>
          <w:sz w:val="32"/>
          <w:szCs w:val="32"/>
        </w:rPr>
        <w:t>3</w:t>
      </w:r>
      <w:r w:rsidRPr="00C90DF9">
        <w:rPr>
          <w:b/>
          <w:i/>
          <w:sz w:val="32"/>
          <w:szCs w:val="32"/>
        </w:rPr>
        <w:t>. február  2020</w:t>
      </w:r>
      <w:r w:rsidRPr="00C90DF9">
        <w:rPr>
          <w:i/>
          <w:sz w:val="24"/>
          <w:szCs w:val="32"/>
        </w:rPr>
        <w:t xml:space="preserve">  </w:t>
      </w:r>
      <w:r>
        <w:rPr>
          <w:i/>
          <w:szCs w:val="32"/>
        </w:rPr>
        <w:t>/</w:t>
      </w:r>
      <w:r w:rsidR="00C90DF9">
        <w:rPr>
          <w:i/>
          <w:szCs w:val="32"/>
        </w:rPr>
        <w:t xml:space="preserve">pondelok </w:t>
      </w:r>
      <w:r>
        <w:rPr>
          <w:i/>
          <w:szCs w:val="32"/>
        </w:rPr>
        <w:t>/   začiatok od 8.30 hod .</w:t>
      </w:r>
    </w:p>
    <w:p w:rsidR="00C90DF9" w:rsidRDefault="00C90DF9" w:rsidP="004B60F8">
      <w:pPr>
        <w:tabs>
          <w:tab w:val="left" w:pos="0"/>
        </w:tabs>
        <w:jc w:val="both"/>
        <w:rPr>
          <w:i/>
          <w:szCs w:val="32"/>
        </w:rPr>
      </w:pPr>
    </w:p>
    <w:p w:rsidR="00C90DF9" w:rsidRDefault="00C90DF9" w:rsidP="004B60F8">
      <w:pPr>
        <w:tabs>
          <w:tab w:val="left" w:pos="0"/>
        </w:tabs>
        <w:jc w:val="both"/>
        <w:rPr>
          <w:b/>
          <w:i/>
          <w:sz w:val="32"/>
          <w:szCs w:val="32"/>
        </w:rPr>
      </w:pPr>
      <w:r w:rsidRPr="00C90DF9">
        <w:rPr>
          <w:i/>
          <w:sz w:val="24"/>
          <w:szCs w:val="32"/>
        </w:rPr>
        <w:t xml:space="preserve">      </w:t>
      </w:r>
      <w:r>
        <w:rPr>
          <w:i/>
          <w:sz w:val="24"/>
          <w:szCs w:val="32"/>
        </w:rPr>
        <w:t xml:space="preserve">                    </w:t>
      </w:r>
      <w:r w:rsidRPr="00C90DF9">
        <w:rPr>
          <w:b/>
          <w:i/>
          <w:sz w:val="40"/>
          <w:szCs w:val="32"/>
        </w:rPr>
        <w:t xml:space="preserve">!!! </w:t>
      </w:r>
      <w:r w:rsidRPr="00C90DF9">
        <w:rPr>
          <w:i/>
          <w:sz w:val="24"/>
          <w:szCs w:val="32"/>
        </w:rPr>
        <w:t xml:space="preserve"> –  </w:t>
      </w:r>
      <w:r w:rsidRPr="00C90DF9">
        <w:rPr>
          <w:i/>
          <w:sz w:val="28"/>
          <w:szCs w:val="32"/>
        </w:rPr>
        <w:t xml:space="preserve">zmena pôvodného termínu 05.02.2020  streda </w:t>
      </w:r>
    </w:p>
    <w:p w:rsidR="00C90DF9" w:rsidRPr="00C90DF9" w:rsidRDefault="00C90DF9" w:rsidP="004B60F8">
      <w:pPr>
        <w:tabs>
          <w:tab w:val="left" w:pos="0"/>
        </w:tabs>
        <w:jc w:val="both"/>
        <w:rPr>
          <w:b/>
          <w:i/>
          <w:sz w:val="28"/>
          <w:szCs w:val="32"/>
        </w:rPr>
      </w:pPr>
      <w:r w:rsidRPr="00C90DF9">
        <w:rPr>
          <w:b/>
          <w:i/>
          <w:sz w:val="28"/>
          <w:szCs w:val="32"/>
        </w:rPr>
        <w:t xml:space="preserve">                     </w:t>
      </w:r>
      <w:r>
        <w:rPr>
          <w:b/>
          <w:i/>
          <w:sz w:val="28"/>
          <w:szCs w:val="32"/>
        </w:rPr>
        <w:t xml:space="preserve">            </w:t>
      </w:r>
      <w:r w:rsidRPr="00C90DF9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 xml:space="preserve">            </w:t>
      </w:r>
      <w:bookmarkStart w:id="0" w:name="_GoBack"/>
      <w:bookmarkEnd w:id="0"/>
      <w:r w:rsidRPr="00C90DF9">
        <w:rPr>
          <w:b/>
          <w:i/>
          <w:sz w:val="28"/>
          <w:szCs w:val="32"/>
        </w:rPr>
        <w:t xml:space="preserve">  na   03.02. 2020 pondelok</w:t>
      </w:r>
    </w:p>
    <w:p w:rsidR="00C90DF9" w:rsidRDefault="00C90DF9" w:rsidP="004B60F8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</w:t>
      </w:r>
    </w:p>
    <w:p w:rsidR="004B60F8" w:rsidRPr="00C90DF9" w:rsidRDefault="004B60F8" w:rsidP="004B60F8">
      <w:pPr>
        <w:tabs>
          <w:tab w:val="left" w:pos="0"/>
        </w:tabs>
        <w:jc w:val="both"/>
        <w:rPr>
          <w:b/>
          <w:i/>
          <w:sz w:val="32"/>
        </w:rPr>
      </w:pPr>
      <w:r w:rsidRPr="00C90DF9">
        <w:rPr>
          <w:b/>
          <w:i/>
          <w:sz w:val="32"/>
        </w:rPr>
        <w:t xml:space="preserve">Miesto:     Posádkový klub / </w:t>
      </w:r>
      <w:r w:rsidRPr="00C90DF9">
        <w:rPr>
          <w:b/>
          <w:i/>
          <w:sz w:val="28"/>
        </w:rPr>
        <w:t>Dom armády</w:t>
      </w:r>
      <w:r w:rsidRPr="00C90DF9">
        <w:rPr>
          <w:b/>
          <w:i/>
          <w:sz w:val="32"/>
        </w:rPr>
        <w:t>/ Hviezdoslavova 16, Trenčín</w:t>
      </w:r>
    </w:p>
    <w:p w:rsidR="00C90DF9" w:rsidRDefault="00C90DF9" w:rsidP="004B60F8">
      <w:pPr>
        <w:tabs>
          <w:tab w:val="left" w:pos="0"/>
        </w:tabs>
        <w:jc w:val="both"/>
        <w:rPr>
          <w:b/>
          <w:i/>
          <w:sz w:val="28"/>
        </w:rPr>
      </w:pPr>
    </w:p>
    <w:p w:rsidR="004B60F8" w:rsidRDefault="004B60F8" w:rsidP="004B60F8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4B60F8" w:rsidRDefault="004B60F8" w:rsidP="004B60F8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základný </w:t>
      </w:r>
      <w:r>
        <w:rPr>
          <w:sz w:val="22"/>
          <w:szCs w:val="28"/>
        </w:rPr>
        <w:t>účastnícky poplatok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na osobu</w:t>
      </w:r>
      <w:r>
        <w:rPr>
          <w:b/>
          <w:sz w:val="22"/>
          <w:szCs w:val="28"/>
        </w:rPr>
        <w:t xml:space="preserve">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4B60F8" w:rsidRDefault="004B60F8" w:rsidP="004B60F8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>. poplatok</w:t>
      </w:r>
      <w:r>
        <w:rPr>
          <w:b/>
          <w:sz w:val="22"/>
          <w:szCs w:val="28"/>
        </w:rPr>
        <w:t xml:space="preserve"> do 20 januára 2020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/osoba /</w:t>
      </w:r>
      <w:r>
        <w:rPr>
          <w:sz w:val="22"/>
          <w:szCs w:val="28"/>
        </w:rPr>
        <w:t>45 euro bez DPH, 9 euro  DPH/</w:t>
      </w:r>
    </w:p>
    <w:p w:rsidR="004B60F8" w:rsidRDefault="004B60F8" w:rsidP="004B60F8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ste sa prihlásili a zúčastníte sa seminára 202001 alebo 202002  alebo 202003 získate bonus  4 euro </w:t>
      </w:r>
      <w:r>
        <w:rPr>
          <w:sz w:val="22"/>
          <w:szCs w:val="28"/>
        </w:rPr>
        <w:t xml:space="preserve">za 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 xml:space="preserve">účasť na  </w:t>
      </w:r>
      <w:r>
        <w:rPr>
          <w:szCs w:val="28"/>
        </w:rPr>
        <w:t>predchádzajúcom</w:t>
      </w:r>
      <w:r>
        <w:rPr>
          <w:sz w:val="18"/>
          <w:szCs w:val="28"/>
        </w:rPr>
        <w:t xml:space="preserve"> </w:t>
      </w:r>
      <w:r>
        <w:rPr>
          <w:sz w:val="22"/>
          <w:szCs w:val="28"/>
        </w:rPr>
        <w:t>seminári  ak poplatok uhradíte do 20. januára 2020  t.j.</w:t>
      </w:r>
      <w:r>
        <w:rPr>
          <w:b/>
          <w:sz w:val="22"/>
          <w:szCs w:val="28"/>
        </w:rPr>
        <w:t xml:space="preserve">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pre Vás bude 50 euro s DPH/osoba </w:t>
      </w:r>
      <w:r>
        <w:rPr>
          <w:sz w:val="22"/>
          <w:szCs w:val="28"/>
        </w:rPr>
        <w:t xml:space="preserve">ak ste sa zúčastnili </w:t>
      </w:r>
      <w:proofErr w:type="spellStart"/>
      <w:r>
        <w:rPr>
          <w:sz w:val="22"/>
          <w:szCs w:val="28"/>
        </w:rPr>
        <w:t>jedneho</w:t>
      </w:r>
      <w:proofErr w:type="spellEnd"/>
      <w:r>
        <w:rPr>
          <w:sz w:val="22"/>
          <w:szCs w:val="28"/>
        </w:rPr>
        <w:t xml:space="preserve">  predchádzajúceho seminára, </w:t>
      </w:r>
      <w:r>
        <w:rPr>
          <w:b/>
          <w:sz w:val="22"/>
          <w:szCs w:val="28"/>
        </w:rPr>
        <w:t xml:space="preserve">46 euro s DPH/osoba  </w:t>
      </w:r>
      <w:r>
        <w:rPr>
          <w:sz w:val="22"/>
          <w:szCs w:val="28"/>
        </w:rPr>
        <w:t>ak ste sa zúčastnili dvoch predchádzajúcich seminárov a </w:t>
      </w:r>
      <w:r>
        <w:rPr>
          <w:b/>
          <w:sz w:val="22"/>
          <w:szCs w:val="28"/>
        </w:rPr>
        <w:t xml:space="preserve">42 euro s DPH /osoba </w:t>
      </w:r>
      <w:r>
        <w:rPr>
          <w:sz w:val="22"/>
          <w:szCs w:val="28"/>
        </w:rPr>
        <w:t>ak ste sa zúčastnili troch predchádzajúcich seminárov/</w:t>
      </w:r>
    </w:p>
    <w:p w:rsidR="004B60F8" w:rsidRPr="004C71A3" w:rsidRDefault="004B60F8" w:rsidP="004B60F8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4C71A3" w:rsidRDefault="004C71A3" w:rsidP="004C71A3">
      <w:pPr>
        <w:tabs>
          <w:tab w:val="left" w:pos="0"/>
        </w:tabs>
        <w:jc w:val="both"/>
        <w:rPr>
          <w:b/>
          <w:sz w:val="24"/>
          <w:szCs w:val="28"/>
        </w:rPr>
      </w:pPr>
    </w:p>
    <w:p w:rsidR="004B60F8" w:rsidRPr="00C200E6" w:rsidRDefault="004B60F8" w:rsidP="004B60F8">
      <w:pPr>
        <w:tabs>
          <w:tab w:val="left" w:pos="0"/>
        </w:tabs>
        <w:ind w:left="502"/>
        <w:jc w:val="both"/>
        <w:rPr>
          <w:b/>
          <w:sz w:val="24"/>
          <w:szCs w:val="28"/>
        </w:rPr>
      </w:pPr>
      <w:r w:rsidRPr="00C200E6">
        <w:rPr>
          <w:b/>
          <w:sz w:val="24"/>
          <w:szCs w:val="28"/>
        </w:rPr>
        <w:t xml:space="preserve">Ing. </w:t>
      </w:r>
      <w:proofErr w:type="spellStart"/>
      <w:r w:rsidRPr="00C200E6">
        <w:rPr>
          <w:b/>
          <w:sz w:val="24"/>
          <w:szCs w:val="28"/>
        </w:rPr>
        <w:t>Prajovú</w:t>
      </w:r>
      <w:proofErr w:type="spellEnd"/>
      <w:r w:rsidRPr="00C200E6">
        <w:rPr>
          <w:b/>
          <w:sz w:val="24"/>
          <w:szCs w:val="28"/>
        </w:rPr>
        <w:t xml:space="preserve"> </w:t>
      </w:r>
      <w:r w:rsidR="004C71A3" w:rsidRPr="00C200E6">
        <w:rPr>
          <w:b/>
          <w:sz w:val="24"/>
          <w:szCs w:val="28"/>
        </w:rPr>
        <w:t xml:space="preserve"> Marcelu </w:t>
      </w:r>
      <w:r w:rsidRPr="00C200E6">
        <w:rPr>
          <w:b/>
          <w:sz w:val="24"/>
          <w:szCs w:val="28"/>
        </w:rPr>
        <w:t xml:space="preserve"> nemusím</w:t>
      </w:r>
      <w:r w:rsidR="00C200E6">
        <w:rPr>
          <w:b/>
          <w:sz w:val="24"/>
          <w:szCs w:val="28"/>
        </w:rPr>
        <w:t>e</w:t>
      </w:r>
      <w:r w:rsidRPr="00C200E6">
        <w:rPr>
          <w:b/>
          <w:sz w:val="24"/>
          <w:szCs w:val="28"/>
        </w:rPr>
        <w:t xml:space="preserve"> predstavovať.  Spolu s Ing. </w:t>
      </w:r>
      <w:proofErr w:type="spellStart"/>
      <w:r w:rsidRPr="00C200E6">
        <w:rPr>
          <w:b/>
          <w:sz w:val="24"/>
          <w:szCs w:val="28"/>
        </w:rPr>
        <w:t>Sekerkovou</w:t>
      </w:r>
      <w:proofErr w:type="spellEnd"/>
      <w:r w:rsidRPr="00C200E6">
        <w:rPr>
          <w:b/>
          <w:sz w:val="24"/>
          <w:szCs w:val="28"/>
        </w:rPr>
        <w:t xml:space="preserve"> patria k nášmu tímu dlhoročných prednášateľov daňových priznaní P</w:t>
      </w:r>
      <w:r w:rsidR="004C71A3" w:rsidRPr="00C200E6">
        <w:rPr>
          <w:b/>
          <w:sz w:val="24"/>
          <w:szCs w:val="28"/>
        </w:rPr>
        <w:t xml:space="preserve">O a FO  s ktorými ste  </w:t>
      </w:r>
      <w:r w:rsidR="002D706D" w:rsidRPr="00C200E6">
        <w:rPr>
          <w:b/>
          <w:sz w:val="24"/>
          <w:szCs w:val="28"/>
        </w:rPr>
        <w:t xml:space="preserve">mimoriadne </w:t>
      </w:r>
      <w:r w:rsidR="004C71A3" w:rsidRPr="00C200E6">
        <w:rPr>
          <w:b/>
          <w:sz w:val="24"/>
          <w:szCs w:val="28"/>
        </w:rPr>
        <w:t xml:space="preserve">spokojní. Aj tento rok nám </w:t>
      </w:r>
      <w:proofErr w:type="spellStart"/>
      <w:r w:rsidR="004C71A3" w:rsidRPr="00C200E6">
        <w:rPr>
          <w:b/>
          <w:sz w:val="24"/>
          <w:szCs w:val="28"/>
        </w:rPr>
        <w:t>odprednáša</w:t>
      </w:r>
      <w:proofErr w:type="spellEnd"/>
      <w:r w:rsidR="004C71A3" w:rsidRPr="00C200E6">
        <w:rPr>
          <w:b/>
          <w:sz w:val="24"/>
          <w:szCs w:val="28"/>
        </w:rPr>
        <w:t xml:space="preserve"> tému k podaniu daňového priznania FO za rok 2019 s praktickým príkladom. Na konci seminára budete informovaní o zmenách v dani z príjmov FO pre rok 2020.</w:t>
      </w:r>
    </w:p>
    <w:p w:rsidR="00777C78" w:rsidRDefault="00777C78" w:rsidP="004B60F8">
      <w:pPr>
        <w:tabs>
          <w:tab w:val="left" w:pos="0"/>
        </w:tabs>
        <w:ind w:left="502"/>
        <w:jc w:val="both"/>
        <w:rPr>
          <w:b/>
          <w:szCs w:val="28"/>
        </w:rPr>
      </w:pPr>
    </w:p>
    <w:p w:rsidR="00777C78" w:rsidRDefault="00777C78" w:rsidP="00777C78">
      <w:pPr>
        <w:jc w:val="center"/>
        <w:rPr>
          <w:rFonts w:ascii="Arial Narrow" w:hAnsi="Arial Narrow"/>
        </w:rPr>
      </w:pPr>
    </w:p>
    <w:p w:rsidR="00777C78" w:rsidRPr="004C71A3" w:rsidRDefault="00777C78" w:rsidP="00777C78">
      <w:pPr>
        <w:rPr>
          <w:rFonts w:ascii="Arial Narrow" w:hAnsi="Arial Narrow"/>
          <w:b/>
          <w:sz w:val="32"/>
        </w:rPr>
      </w:pPr>
      <w:r w:rsidRPr="004C71A3">
        <w:rPr>
          <w:rFonts w:ascii="Arial Narrow" w:hAnsi="Arial Narrow"/>
          <w:b/>
          <w:sz w:val="32"/>
        </w:rPr>
        <w:t xml:space="preserve">Program </w:t>
      </w:r>
      <w:r w:rsidR="002D706D">
        <w:rPr>
          <w:rFonts w:ascii="Arial Narrow" w:hAnsi="Arial Narrow"/>
          <w:b/>
          <w:sz w:val="32"/>
        </w:rPr>
        <w:t>:</w:t>
      </w:r>
    </w:p>
    <w:p w:rsidR="00777C78" w:rsidRDefault="00777C78" w:rsidP="00777C78">
      <w:pPr>
        <w:rPr>
          <w:rFonts w:ascii="Arial Narrow" w:hAnsi="Arial Narrow"/>
          <w:b/>
        </w:rPr>
      </w:pPr>
    </w:p>
    <w:p w:rsidR="00777C78" w:rsidRDefault="00777C78" w:rsidP="00777C78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Zmeny v zákone č. 595/2003 Z. z. o dani z príjmov v znení neskorších predpisov s účinnosťou pre rok 2019 </w:t>
      </w:r>
    </w:p>
    <w:p w:rsidR="00777C78" w:rsidRDefault="00777C78" w:rsidP="00777C78">
      <w:pPr>
        <w:numPr>
          <w:ilvl w:val="1"/>
          <w:numId w:val="2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347/2018 Z. z. – príspevok na rekreáciu</w:t>
      </w:r>
    </w:p>
    <w:p w:rsidR="00777C78" w:rsidRDefault="00777C78" w:rsidP="00777C78">
      <w:pPr>
        <w:numPr>
          <w:ilvl w:val="1"/>
          <w:numId w:val="2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368/2018 Z. z. – nepeňažné plnenie za účelom ubytovania zamestnanca</w:t>
      </w:r>
    </w:p>
    <w:p w:rsidR="00777C78" w:rsidRDefault="00777C78" w:rsidP="00777C78">
      <w:pPr>
        <w:numPr>
          <w:ilvl w:val="1"/>
          <w:numId w:val="2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10/2019 Z. z. – zvýšenie sumy daňového bonusu</w:t>
      </w:r>
    </w:p>
    <w:p w:rsidR="00777C78" w:rsidRDefault="00777C78" w:rsidP="00777C78">
      <w:pPr>
        <w:numPr>
          <w:ilvl w:val="1"/>
          <w:numId w:val="2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Zákon č. 54/2019 Z. z. –  zmena podmienok na oslobodenie 13. platu</w:t>
      </w:r>
    </w:p>
    <w:p w:rsidR="00777C78" w:rsidRDefault="00777C78" w:rsidP="00777C78">
      <w:pPr>
        <w:numPr>
          <w:ilvl w:val="1"/>
          <w:numId w:val="2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155/2019 Z. z. – podnikové štipendiá</w:t>
      </w:r>
    </w:p>
    <w:p w:rsidR="00777C78" w:rsidRDefault="00777C78" w:rsidP="00777C78">
      <w:pPr>
        <w:numPr>
          <w:ilvl w:val="1"/>
          <w:numId w:val="2"/>
        </w:num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221/2019 Z. z. – znižovanie administratívnej záťaže</w:t>
      </w:r>
    </w:p>
    <w:p w:rsidR="00777C78" w:rsidRPr="008109C9" w:rsidRDefault="00777C78" w:rsidP="00777C78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8109C9">
        <w:rPr>
          <w:rFonts w:ascii="Arial Narrow" w:hAnsi="Arial Narrow"/>
        </w:rPr>
        <w:t>Vyčíslenie jednotlivých čiastkových základov dane z príjmov fyzických osôb so zameraním na čiastkový základ dane z príjmov z podnikania, inej samostatnej zárobkovej činnosti, z prenájmu a z použitia diela a umeleckého výkonu</w:t>
      </w:r>
    </w:p>
    <w:p w:rsidR="00777C78" w:rsidRPr="008109C9" w:rsidRDefault="00777C78" w:rsidP="00777C78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8109C9">
        <w:rPr>
          <w:rFonts w:ascii="Arial Narrow" w:hAnsi="Arial Narrow"/>
        </w:rPr>
        <w:t>Vybrané oblasti – špecifické ustanovenia o zisťovaní základu dane týkajúce sa fyzickej osoby, uplatnenie vybraných daňových výdavkov, aktuálne problémy z praxe</w:t>
      </w:r>
    </w:p>
    <w:p w:rsidR="00777C78" w:rsidRPr="008109C9" w:rsidRDefault="00777C78" w:rsidP="00777C78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8109C9">
        <w:rPr>
          <w:rFonts w:ascii="Arial Narrow" w:hAnsi="Arial Narrow"/>
        </w:rPr>
        <w:t>Nezdaniteľné časti základu dane</w:t>
      </w:r>
      <w:r>
        <w:rPr>
          <w:rFonts w:ascii="Arial Narrow" w:hAnsi="Arial Narrow"/>
        </w:rPr>
        <w:t>,</w:t>
      </w:r>
      <w:r w:rsidRPr="008109C9">
        <w:rPr>
          <w:rFonts w:ascii="Arial Narrow" w:hAnsi="Arial Narrow"/>
        </w:rPr>
        <w:t xml:space="preserve"> daňový bonus </w:t>
      </w:r>
      <w:r>
        <w:rPr>
          <w:rFonts w:ascii="Arial Narrow" w:hAnsi="Arial Narrow"/>
        </w:rPr>
        <w:t xml:space="preserve">a daňový bonus na zaplatené úroky </w:t>
      </w:r>
      <w:r w:rsidRPr="008109C9">
        <w:rPr>
          <w:rFonts w:ascii="Arial Narrow" w:hAnsi="Arial Narrow"/>
        </w:rPr>
        <w:t>za rok 201</w:t>
      </w:r>
      <w:r>
        <w:rPr>
          <w:rFonts w:ascii="Arial Narrow" w:hAnsi="Arial Narrow"/>
        </w:rPr>
        <w:t>9</w:t>
      </w:r>
    </w:p>
    <w:p w:rsidR="00777C78" w:rsidRPr="008109C9" w:rsidRDefault="00777C78" w:rsidP="00777C78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8109C9">
        <w:rPr>
          <w:rFonts w:ascii="Arial Narrow" w:hAnsi="Arial Narrow"/>
        </w:rPr>
        <w:t>Daňové priznanie k dani z príjmov fyzických osôb za zdaňovacie obdobie roku 201</w:t>
      </w:r>
      <w:r>
        <w:rPr>
          <w:rFonts w:ascii="Arial Narrow" w:hAnsi="Arial Narrow"/>
        </w:rPr>
        <w:t xml:space="preserve">9 </w:t>
      </w:r>
      <w:r w:rsidRPr="008109C9">
        <w:rPr>
          <w:rFonts w:ascii="Arial Narrow" w:hAnsi="Arial Narrow"/>
        </w:rPr>
        <w:t>– zmeny v tlačive daňového priznania typ B, komplexný príklad na vyplnenie daňového priznania typ B, povinnosť podať daňové priznanie, lehota na podanie daňového priznania, predĺženie lehoty na podanie daňového priznania, platba dane</w:t>
      </w:r>
      <w:r>
        <w:rPr>
          <w:rFonts w:ascii="Arial Narrow" w:hAnsi="Arial Narrow"/>
        </w:rPr>
        <w:t>, platenie preddavkov</w:t>
      </w:r>
    </w:p>
    <w:p w:rsidR="00777C78" w:rsidRDefault="00777C78" w:rsidP="00777C78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Zmeny v zákone č. 595/2003 Z. z. o dani z príjmov v znení neskorších predpisov od 01.01.2020 a neskôr</w:t>
      </w:r>
    </w:p>
    <w:p w:rsidR="00777C78" w:rsidRDefault="00777C78" w:rsidP="00777C78">
      <w:pPr>
        <w:numPr>
          <w:ilvl w:val="1"/>
          <w:numId w:val="3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228/2019 Z. z. – príspevok za zásluhy v športe</w:t>
      </w:r>
    </w:p>
    <w:p w:rsidR="00777C78" w:rsidRDefault="00777C78" w:rsidP="00777C78">
      <w:pPr>
        <w:numPr>
          <w:ilvl w:val="1"/>
          <w:numId w:val="3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 301/2019 Z. z. – napr.:</w:t>
      </w:r>
    </w:p>
    <w:p w:rsidR="00777C78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Definícia vkladu </w:t>
      </w:r>
    </w:p>
    <w:p w:rsidR="00777C78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Príjmy oslobodené od dane z príjmov zo závislej činnosti</w:t>
      </w:r>
    </w:p>
    <w:p w:rsidR="00777C78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01B7">
        <w:rPr>
          <w:rFonts w:ascii="Arial Narrow" w:hAnsi="Arial Narrow"/>
        </w:rPr>
        <w:t xml:space="preserve">Zdaňovanie peňažných a nepeňažných plnení vyplatených, resp. poskytnutých držiteľom poskytovateľovi zdravotnej starostlivosti </w:t>
      </w:r>
    </w:p>
    <w:p w:rsidR="00777C78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Ocenenie výdavku v súvislosti s virtuálnou menou</w:t>
      </w:r>
    </w:p>
    <w:p w:rsidR="00777C78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Náhrada za stratu zdaniteľného príjmu</w:t>
      </w:r>
    </w:p>
    <w:p w:rsidR="00777C78" w:rsidRPr="002A01B7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Vklad pohľadávky do obchodnej spoločnosti alebo družstva</w:t>
      </w:r>
    </w:p>
    <w:p w:rsidR="00777C78" w:rsidRPr="002A01B7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Platenie preddavkov </w:t>
      </w:r>
      <w:r w:rsidRPr="002A01B7">
        <w:rPr>
          <w:rFonts w:ascii="Arial Narrow" w:hAnsi="Arial Narrow"/>
        </w:rPr>
        <w:t xml:space="preserve"> na daň z príjmov fyzickej osoby</w:t>
      </w:r>
    </w:p>
    <w:p w:rsidR="00777C78" w:rsidRPr="002A01B7" w:rsidRDefault="00777C78" w:rsidP="00777C78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01B7">
        <w:rPr>
          <w:rFonts w:ascii="Arial Narrow" w:hAnsi="Arial Narrow"/>
        </w:rPr>
        <w:t>Zaokrúhľovanie</w:t>
      </w:r>
    </w:p>
    <w:p w:rsidR="00777C78" w:rsidRPr="002A01B7" w:rsidRDefault="00777C78" w:rsidP="00777C78">
      <w:pPr>
        <w:numPr>
          <w:ilvl w:val="1"/>
          <w:numId w:val="3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315/2019 Z. z. – sadzba dane</w:t>
      </w:r>
    </w:p>
    <w:p w:rsidR="00777C78" w:rsidRDefault="00777C78" w:rsidP="00777C78">
      <w:pPr>
        <w:numPr>
          <w:ilvl w:val="1"/>
          <w:numId w:val="3"/>
        </w:numPr>
        <w:ind w:left="567" w:hanging="283"/>
        <w:jc w:val="both"/>
        <w:rPr>
          <w:rFonts w:ascii="Arial Narrow" w:hAnsi="Arial Narrow"/>
        </w:rPr>
      </w:pPr>
      <w:r w:rsidRPr="002A01B7">
        <w:rPr>
          <w:rFonts w:ascii="Arial Narrow" w:hAnsi="Arial Narrow"/>
        </w:rPr>
        <w:t xml:space="preserve">Zákon č. </w:t>
      </w:r>
      <w:r>
        <w:rPr>
          <w:rFonts w:ascii="Arial Narrow" w:hAnsi="Arial Narrow"/>
        </w:rPr>
        <w:t>316</w:t>
      </w:r>
      <w:r w:rsidRPr="002A01B7">
        <w:rPr>
          <w:rFonts w:ascii="Arial Narrow" w:hAnsi="Arial Narrow"/>
        </w:rPr>
        <w:t>/2019 Z. z.</w:t>
      </w:r>
      <w:r>
        <w:rPr>
          <w:rFonts w:ascii="Arial Narrow" w:hAnsi="Arial Narrow"/>
        </w:rPr>
        <w:t xml:space="preserve"> </w:t>
      </w:r>
      <w:r w:rsidRPr="002A01B7">
        <w:rPr>
          <w:rFonts w:ascii="Arial Narrow" w:hAnsi="Arial Narrow"/>
        </w:rPr>
        <w:t>– nezdaniteľná časť základu dane na daňovníka</w:t>
      </w:r>
    </w:p>
    <w:p w:rsidR="00777C78" w:rsidRPr="002A01B7" w:rsidRDefault="00777C78" w:rsidP="00777C78">
      <w:pPr>
        <w:numPr>
          <w:ilvl w:val="1"/>
          <w:numId w:val="3"/>
        </w:numPr>
        <w:ind w:left="567" w:hanging="283"/>
        <w:jc w:val="both"/>
        <w:rPr>
          <w:rFonts w:ascii="Arial Narrow" w:hAnsi="Arial Narrow"/>
        </w:rPr>
      </w:pPr>
      <w:r w:rsidRPr="002A01B7">
        <w:rPr>
          <w:rFonts w:ascii="Arial Narrow" w:hAnsi="Arial Narrow"/>
        </w:rPr>
        <w:t xml:space="preserve">Zákon č. </w:t>
      </w:r>
      <w:r>
        <w:rPr>
          <w:rFonts w:ascii="Arial Narrow" w:hAnsi="Arial Narrow"/>
        </w:rPr>
        <w:t>319</w:t>
      </w:r>
      <w:r w:rsidRPr="002A01B7">
        <w:rPr>
          <w:rFonts w:ascii="Arial Narrow" w:hAnsi="Arial Narrow"/>
        </w:rPr>
        <w:t xml:space="preserve">/2019 Z. z.– </w:t>
      </w:r>
      <w:r>
        <w:rPr>
          <w:rFonts w:ascii="Arial Narrow" w:hAnsi="Arial Narrow"/>
        </w:rPr>
        <w:t>príspevok na športovú činnosť dieťaťa</w:t>
      </w:r>
    </w:p>
    <w:p w:rsidR="00777C78" w:rsidRDefault="00777C78" w:rsidP="00777C78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Diskusia a odpovede na dopyty (aj počas seminára)</w:t>
      </w:r>
    </w:p>
    <w:p w:rsidR="00777C78" w:rsidRDefault="00777C78" w:rsidP="00777C78">
      <w:pPr>
        <w:jc w:val="both"/>
        <w:rPr>
          <w:rFonts w:ascii="Arial Narrow" w:hAnsi="Arial Narrow"/>
        </w:rPr>
      </w:pPr>
    </w:p>
    <w:p w:rsidR="00777C78" w:rsidRPr="006C5C52" w:rsidRDefault="00777C78" w:rsidP="00777C78">
      <w:pPr>
        <w:rPr>
          <w:rFonts w:ascii="Arial Narrow" w:hAnsi="Arial Narrow"/>
        </w:rPr>
      </w:pPr>
      <w:r w:rsidRPr="006C5C52">
        <w:rPr>
          <w:rFonts w:ascii="Arial Narrow" w:hAnsi="Arial Narrow"/>
          <w:b/>
          <w:bCs/>
        </w:rPr>
        <w:t>V nadväznosti na legislatívne zmeny, môže byť program upravený.</w:t>
      </w:r>
    </w:p>
    <w:p w:rsidR="00777C78" w:rsidRDefault="00777C78" w:rsidP="004B60F8">
      <w:pPr>
        <w:tabs>
          <w:tab w:val="left" w:pos="0"/>
        </w:tabs>
        <w:ind w:left="502"/>
        <w:jc w:val="both"/>
        <w:rPr>
          <w:b/>
          <w:sz w:val="24"/>
          <w:szCs w:val="28"/>
        </w:rPr>
      </w:pPr>
    </w:p>
    <w:p w:rsidR="004B60F8" w:rsidRDefault="004B60F8" w:rsidP="004B60F8">
      <w:pPr>
        <w:pStyle w:val="Odsekzoznamu"/>
        <w:ind w:left="502"/>
        <w:rPr>
          <w:b/>
          <w:sz w:val="32"/>
          <w:szCs w:val="28"/>
        </w:rPr>
      </w:pPr>
    </w:p>
    <w:p w:rsidR="004C71A3" w:rsidRPr="004C71A3" w:rsidRDefault="004C71A3" w:rsidP="004C71A3">
      <w:pPr>
        <w:tabs>
          <w:tab w:val="left" w:pos="0"/>
        </w:tabs>
        <w:jc w:val="both"/>
        <w:rPr>
          <w:b/>
          <w:i/>
          <w:sz w:val="52"/>
        </w:rPr>
      </w:pPr>
      <w:r w:rsidRPr="004C71A3">
        <w:rPr>
          <w:b/>
          <w:i/>
          <w:sz w:val="52"/>
        </w:rPr>
        <w:t xml:space="preserve">           </w:t>
      </w:r>
      <w:r>
        <w:rPr>
          <w:b/>
          <w:i/>
          <w:sz w:val="52"/>
        </w:rPr>
        <w:t xml:space="preserve">        </w:t>
      </w:r>
      <w:r w:rsidRPr="004C71A3">
        <w:rPr>
          <w:b/>
          <w:i/>
          <w:sz w:val="52"/>
        </w:rPr>
        <w:t xml:space="preserve">     * *  *  *  *  *  *</w:t>
      </w:r>
    </w:p>
    <w:p w:rsidR="00E1579A" w:rsidRDefault="00E1579A"/>
    <w:sectPr w:rsidR="00E1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0F"/>
    <w:multiLevelType w:val="hybridMultilevel"/>
    <w:tmpl w:val="DF08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35B"/>
    <w:multiLevelType w:val="hybridMultilevel"/>
    <w:tmpl w:val="D04202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34"/>
    <w:rsid w:val="002D706D"/>
    <w:rsid w:val="004B60F8"/>
    <w:rsid w:val="004C71A3"/>
    <w:rsid w:val="00777C78"/>
    <w:rsid w:val="0080641D"/>
    <w:rsid w:val="00C200E6"/>
    <w:rsid w:val="00C90DF9"/>
    <w:rsid w:val="00E1579A"/>
    <w:rsid w:val="00E64D34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41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0641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064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064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60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41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0641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064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0641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60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2019-11-24T13:14:00Z</cp:lastPrinted>
  <dcterms:created xsi:type="dcterms:W3CDTF">2019-11-04T07:59:00Z</dcterms:created>
  <dcterms:modified xsi:type="dcterms:W3CDTF">2019-11-24T13:15:00Z</dcterms:modified>
</cp:coreProperties>
</file>